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7F5CFF" w14:textId="62B82DDE" w:rsidR="002E773E" w:rsidRPr="002E773E" w:rsidRDefault="002E773E" w:rsidP="002E773E">
      <w:pPr>
        <w:pStyle w:val="Header"/>
        <w:tabs>
          <w:tab w:val="right" w:pos="9639"/>
        </w:tabs>
        <w:rPr>
          <w:bCs/>
          <w:noProof w:val="0"/>
          <w:sz w:val="24"/>
          <w:szCs w:val="24"/>
        </w:rPr>
      </w:pPr>
      <w:r w:rsidRPr="00FE251B">
        <w:rPr>
          <w:bCs/>
          <w:noProof w:val="0"/>
          <w:sz w:val="24"/>
          <w:szCs w:val="24"/>
        </w:rPr>
        <w:t>3GPP TSG-RAN WG2 NR Ad hoc 1801</w:t>
      </w:r>
      <w:r w:rsidRPr="00B266B0">
        <w:rPr>
          <w:bCs/>
          <w:noProof w:val="0"/>
          <w:sz w:val="24"/>
          <w:szCs w:val="24"/>
        </w:rPr>
        <w:tab/>
      </w:r>
      <w:r w:rsidR="005149BE" w:rsidRPr="005149BE">
        <w:rPr>
          <w:bCs/>
          <w:noProof w:val="0"/>
          <w:sz w:val="24"/>
          <w:szCs w:val="24"/>
        </w:rPr>
        <w:t>R2-1800771</w:t>
      </w:r>
    </w:p>
    <w:p w14:paraId="3FF43286" w14:textId="42BE8BE3" w:rsidR="002E773E" w:rsidRPr="00B266B0" w:rsidRDefault="002E773E" w:rsidP="002E773E">
      <w:pPr>
        <w:pStyle w:val="Header"/>
        <w:tabs>
          <w:tab w:val="right" w:pos="9639"/>
        </w:tabs>
        <w:rPr>
          <w:bCs/>
          <w:noProof w:val="0"/>
          <w:sz w:val="24"/>
          <w:szCs w:val="24"/>
        </w:rPr>
      </w:pPr>
      <w:r>
        <w:rPr>
          <w:rFonts w:eastAsia="SimSun"/>
          <w:noProof w:val="0"/>
          <w:sz w:val="24"/>
          <w:szCs w:val="24"/>
          <w:lang w:eastAsia="zh-CN"/>
        </w:rPr>
        <w:t>Vancouver</w:t>
      </w:r>
      <w:r w:rsidRPr="00C24650">
        <w:rPr>
          <w:rFonts w:eastAsia="SimSun"/>
          <w:noProof w:val="0"/>
          <w:sz w:val="24"/>
          <w:szCs w:val="24"/>
          <w:lang w:eastAsia="zh-CN"/>
        </w:rPr>
        <w:t xml:space="preserve">, </w:t>
      </w:r>
      <w:r>
        <w:rPr>
          <w:rFonts w:eastAsia="SimSun"/>
          <w:noProof w:val="0"/>
          <w:sz w:val="24"/>
          <w:szCs w:val="24"/>
          <w:lang w:eastAsia="zh-CN"/>
        </w:rPr>
        <w:t>Canada</w:t>
      </w:r>
      <w:r w:rsidRPr="00C24650">
        <w:rPr>
          <w:rFonts w:eastAsia="SimSun"/>
          <w:noProof w:val="0"/>
          <w:sz w:val="24"/>
          <w:szCs w:val="24"/>
          <w:lang w:eastAsia="zh-CN"/>
        </w:rPr>
        <w:t xml:space="preserve">, </w:t>
      </w:r>
      <w:r>
        <w:rPr>
          <w:rFonts w:eastAsia="SimSun"/>
          <w:noProof w:val="0"/>
          <w:sz w:val="24"/>
          <w:szCs w:val="24"/>
          <w:lang w:eastAsia="zh-CN"/>
        </w:rPr>
        <w:t xml:space="preserve">22 – 26 January </w:t>
      </w:r>
      <w:r w:rsidRPr="00C24650">
        <w:rPr>
          <w:rFonts w:eastAsia="SimSun"/>
          <w:noProof w:val="0"/>
          <w:sz w:val="24"/>
          <w:szCs w:val="24"/>
          <w:lang w:eastAsia="zh-CN"/>
        </w:rPr>
        <w:t>201</w:t>
      </w:r>
      <w:r>
        <w:rPr>
          <w:rFonts w:eastAsia="SimSun"/>
          <w:noProof w:val="0"/>
          <w:sz w:val="24"/>
          <w:szCs w:val="24"/>
          <w:lang w:eastAsia="zh-CN"/>
        </w:rPr>
        <w:t>8</w:t>
      </w:r>
      <w:r>
        <w:rPr>
          <w:rFonts w:eastAsia="SimSun"/>
          <w:noProof w:val="0"/>
          <w:sz w:val="24"/>
          <w:szCs w:val="24"/>
          <w:lang w:eastAsia="zh-CN"/>
        </w:rPr>
        <w:tab/>
      </w:r>
      <w:hyperlink r:id="rId11" w:tooltip="C:Data3GPPExtractsR2-1709244 Comparision of RRC reconfiguration latency for SCG SRB with MCG routed SRB.docx" w:history="1">
        <w:r w:rsidRPr="00E1441E">
          <w:rPr>
            <w:bCs/>
            <w:i/>
            <w:noProof w:val="0"/>
            <w:sz w:val="24"/>
            <w:szCs w:val="24"/>
          </w:rPr>
          <w:t>R2-1709244</w:t>
        </w:r>
      </w:hyperlink>
    </w:p>
    <w:p w14:paraId="24AF1368" w14:textId="77777777" w:rsidR="002E773E" w:rsidRPr="00B266B0" w:rsidRDefault="002E773E" w:rsidP="002E773E">
      <w:pPr>
        <w:pStyle w:val="Header"/>
        <w:rPr>
          <w:bCs/>
          <w:noProof w:val="0"/>
          <w:sz w:val="24"/>
        </w:rPr>
      </w:pPr>
    </w:p>
    <w:p w14:paraId="6B884D7A" w14:textId="15834008" w:rsidR="002E773E" w:rsidRPr="00B266B0" w:rsidRDefault="002E773E" w:rsidP="002E773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D68">
        <w:rPr>
          <w:rFonts w:cs="Arial"/>
          <w:b/>
          <w:bCs/>
          <w:sz w:val="24"/>
          <w:lang w:eastAsia="ja-JP"/>
        </w:rPr>
        <w:t>10.4.3.2</w:t>
      </w:r>
      <w:bookmarkStart w:id="0" w:name="_GoBack"/>
      <w:bookmarkEnd w:id="0"/>
    </w:p>
    <w:p w14:paraId="67113336" w14:textId="77777777" w:rsidR="002E773E" w:rsidRPr="00B266B0" w:rsidRDefault="002E773E" w:rsidP="002E773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9E67C0E" w14:textId="2BC18C25" w:rsidR="002E773E" w:rsidRDefault="002E773E" w:rsidP="002E773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Making SRB3 a mandatory feature</w:t>
      </w:r>
    </w:p>
    <w:p w14:paraId="3A31EBF8" w14:textId="77777777" w:rsidR="002E773E" w:rsidRPr="00B266B0" w:rsidRDefault="002E773E" w:rsidP="002E773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28365C7E" w14:textId="77777777" w:rsidR="002E773E" w:rsidRPr="00B266B0" w:rsidRDefault="002E773E" w:rsidP="002E773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C43BCFB" w:rsidR="00CD4C7B" w:rsidRDefault="002E773E" w:rsidP="00CD4C7B">
      <w:r>
        <w:t xml:space="preserve">During the RAN#99 meeting in Berlin a discussion happened on [1] </w:t>
      </w:r>
      <w:r w:rsidR="008204D3">
        <w:t>and</w:t>
      </w:r>
      <w:r>
        <w:t xml:space="preserve"> the paper was noted. The paper is resubmitted again with the proposal section updated given the fact</w:t>
      </w:r>
      <w:r w:rsidR="003C16A5">
        <w:t>s</w:t>
      </w:r>
      <w:r>
        <w:t xml:space="preserve"> that </w:t>
      </w:r>
      <w:r w:rsidR="003C16A5">
        <w:t xml:space="preserve">there are severe issues with mobility under NR without configuring SRB3 and </w:t>
      </w:r>
      <w:r>
        <w:t xml:space="preserve">a majority of companies have now supported having the SRB3 a mandatory feature (or having </w:t>
      </w:r>
      <w:r w:rsidR="00D67461">
        <w:t>the same</w:t>
      </w:r>
      <w:r>
        <w:t xml:space="preserve"> supported with an IOT bit).</w:t>
      </w:r>
    </w:p>
    <w:p w14:paraId="127ACA6D" w14:textId="533E3BCF" w:rsidR="00CD4C7B" w:rsidRPr="006E13D1" w:rsidRDefault="00CD4C7B" w:rsidP="00CD4C7B">
      <w:pPr>
        <w:pStyle w:val="Heading1"/>
      </w:pPr>
      <w:r w:rsidRPr="006E13D1">
        <w:t>2</w:t>
      </w:r>
      <w:r w:rsidRPr="006E13D1">
        <w:tab/>
      </w:r>
      <w:r w:rsidR="00DB5628">
        <w:t>Background</w:t>
      </w:r>
      <w:r w:rsidR="00F44A23">
        <w:t xml:space="preserve"> and assumptions</w:t>
      </w:r>
    </w:p>
    <w:p w14:paraId="2D61E5A1" w14:textId="0B7F9004" w:rsidR="00E92E87" w:rsidRDefault="00E92E87" w:rsidP="00DB5628">
      <w:r>
        <w:t xml:space="preserve">For comparing the reconfiguration latency </w:t>
      </w:r>
      <w:r w:rsidR="00DE555F">
        <w:t xml:space="preserve">with </w:t>
      </w:r>
      <w:r>
        <w:t>direct SRB</w:t>
      </w:r>
      <w:r w:rsidR="00DE555F">
        <w:t xml:space="preserve"> versus use of RRC containers via MCG SRB, </w:t>
      </w:r>
      <w:r>
        <w:t xml:space="preserve">we present a simple </w:t>
      </w:r>
      <w:r w:rsidR="00DE555F">
        <w:t xml:space="preserve">illustrative </w:t>
      </w:r>
      <w:r>
        <w:t>calculation</w:t>
      </w:r>
      <w:r w:rsidR="00DE555F">
        <w:t xml:space="preserve"> as follows</w:t>
      </w:r>
      <w:r>
        <w:t>.</w:t>
      </w:r>
    </w:p>
    <w:p w14:paraId="66AF329F" w14:textId="0D7DC7AD" w:rsidR="00DB5628" w:rsidRDefault="00DB5628" w:rsidP="00DB5628">
      <w:r>
        <w:t>The overall procedure duration is measured from the point the UE is ready to send the RRC Measurement Report to the point when the network receives the RRC Connection Reconfiguration Complete; in other words, from the identification of the need for a handover to its completion.</w:t>
      </w:r>
    </w:p>
    <w:p w14:paraId="6A35FC63" w14:textId="521BEFE9" w:rsidR="00DB5628" w:rsidRDefault="00F44A23" w:rsidP="00DB5628">
      <w:r>
        <w:t>T</w:t>
      </w:r>
      <w:r w:rsidR="00DB5628">
        <w:t xml:space="preserve">he following </w:t>
      </w:r>
      <w:r>
        <w:t xml:space="preserve">assumptions </w:t>
      </w:r>
      <w:r w:rsidR="00DB5628">
        <w:t>are used:</w:t>
      </w:r>
    </w:p>
    <w:p w14:paraId="3420611F" w14:textId="77777777" w:rsidR="00DB5628" w:rsidRPr="00782355" w:rsidRDefault="00DB5628" w:rsidP="00DB5628">
      <w:pPr>
        <w:rPr>
          <w:u w:val="single"/>
        </w:rPr>
      </w:pPr>
      <w:r>
        <w:rPr>
          <w:u w:val="single"/>
        </w:rPr>
        <w:t>UE s</w:t>
      </w:r>
      <w:r w:rsidRPr="00782355">
        <w:rPr>
          <w:u w:val="single"/>
        </w:rPr>
        <w:t>cheduling delays</w:t>
      </w:r>
    </w:p>
    <w:p w14:paraId="593A9F1A" w14:textId="77777777" w:rsidR="00DB5628" w:rsidRDefault="00DB5628" w:rsidP="00DB5628">
      <w:r>
        <w:t>Scheduling delays are estimated to be half of the minimum time between two scheduling opportunities.</w:t>
      </w:r>
    </w:p>
    <w:p w14:paraId="38F6952B" w14:textId="460E1FCD" w:rsidR="00DB5628" w:rsidRDefault="00DB5628" w:rsidP="00DB5628">
      <w:r>
        <w:t xml:space="preserve">In LTE, the minimum time between two opportunities to send a Scheduling Request is </w:t>
      </w:r>
      <w:r w:rsidR="00F44A23">
        <w:t xml:space="preserve">assumed </w:t>
      </w:r>
      <w:r>
        <w:t>5</w:t>
      </w:r>
      <w:r w:rsidR="00F44A23">
        <w:t xml:space="preserve"> </w:t>
      </w:r>
      <w:r>
        <w:t>ms; this leads to an average scheduling delay of 2.5ms.</w:t>
      </w:r>
    </w:p>
    <w:p w14:paraId="66C55B99" w14:textId="2C1BB21D" w:rsidR="00DB5628" w:rsidRDefault="00DB5628" w:rsidP="00DB5628">
      <w:r>
        <w:t xml:space="preserve">In NR, the minimum time between two opportunities to send a Scheduling Request is being defined. We will assume it </w:t>
      </w:r>
      <w:r w:rsidR="004E20A3">
        <w:t>is</w:t>
      </w:r>
      <w:r>
        <w:t xml:space="preserve"> 1ms.</w:t>
      </w:r>
    </w:p>
    <w:p w14:paraId="3C57F9A3" w14:textId="77777777" w:rsidR="00DB5628" w:rsidRPr="00782355" w:rsidRDefault="00DB5628" w:rsidP="00DB5628">
      <w:pPr>
        <w:rPr>
          <w:u w:val="single"/>
        </w:rPr>
      </w:pPr>
      <w:r w:rsidRPr="00782355">
        <w:rPr>
          <w:u w:val="single"/>
        </w:rPr>
        <w:t>Uu transmission delays</w:t>
      </w:r>
    </w:p>
    <w:p w14:paraId="1610C220" w14:textId="77777777" w:rsidR="00DB5628" w:rsidRDefault="00DB5628" w:rsidP="00DB5628">
      <w:r>
        <w:t>Uu transmission delays are set to one TTI, meaning 1ms for LTE. For NR we assume a 0.125ms TTI.</w:t>
      </w:r>
    </w:p>
    <w:p w14:paraId="1BF40C49" w14:textId="77777777" w:rsidR="00DB5628" w:rsidRPr="009C35A0" w:rsidRDefault="00DB5628" w:rsidP="00DB5628">
      <w:pPr>
        <w:rPr>
          <w:u w:val="single"/>
        </w:rPr>
      </w:pPr>
      <w:r w:rsidRPr="009C35A0">
        <w:rPr>
          <w:u w:val="single"/>
        </w:rPr>
        <w:t>SgNB processing and scheduling delays</w:t>
      </w:r>
    </w:p>
    <w:p w14:paraId="7C880B02" w14:textId="77777777" w:rsidR="00DB5628" w:rsidRDefault="00DB5628" w:rsidP="00DB5628">
      <w:r>
        <w:t>This corresponds to the time required to process an UL scheduling request from the UE or a DL transmission request and to wait for the right TTI. As this is dependent on UL/DL split, it is proposed to use a fixed processing time of 1ms plus two TTIs, i.e. 1.25ms.</w:t>
      </w:r>
    </w:p>
    <w:p w14:paraId="0A1B384D" w14:textId="77777777" w:rsidR="00DB5628" w:rsidRDefault="00DB5628" w:rsidP="00DB5628">
      <w:r w:rsidRPr="00FE6209">
        <w:rPr>
          <w:u w:val="single"/>
        </w:rPr>
        <w:t>Procedure delays and interruption times</w:t>
      </w:r>
    </w:p>
    <w:p w14:paraId="514B9D17" w14:textId="59937398" w:rsidR="00DB5628" w:rsidRDefault="00DB5628" w:rsidP="00DB5628">
      <w:r>
        <w:t xml:space="preserve">These haven’t yet been defined for NR, but are expected to be lower than for LTE. One way to proceed is to apply </w:t>
      </w:r>
      <w:r w:rsidR="004E20A3">
        <w:t>a</w:t>
      </w:r>
      <w:r>
        <w:t xml:space="preserve"> </w:t>
      </w:r>
      <w:r w:rsidR="00A37A21">
        <w:t xml:space="preserve"> factor of performance improvement over LTE (3x or 5x).</w:t>
      </w:r>
    </w:p>
    <w:p w14:paraId="5CD66142" w14:textId="77777777" w:rsidR="00DB5628" w:rsidRDefault="00DB5628" w:rsidP="00DB5628">
      <w:r>
        <w:t xml:space="preserve">In LTE, the maximum procedure delay for the UE handling of the RRC Connection Reconfiguration is given by TS36.331 section 11.2 (15ms for intra-LTE mobility). The maximum interruption time is given by TS36.133 section </w:t>
      </w:r>
      <w:r w:rsidRPr="006B0C28">
        <w:t>5.1.2.1.2</w:t>
      </w:r>
      <w:r>
        <w:t xml:space="preserve"> (20ms, by assuming the target cell is already known and there is no delay until first PRACH occasion). The total is 35ms.</w:t>
      </w:r>
    </w:p>
    <w:p w14:paraId="5B99F387" w14:textId="1B02F5A4" w:rsidR="00DB5628" w:rsidRDefault="00A37A21">
      <w:r>
        <w:lastRenderedPageBreak/>
        <w:t xml:space="preserve">For NR, we assume for the rest of this discussion that a modest performance gain of 4x leading to a </w:t>
      </w:r>
      <w:r w:rsidR="00DB5628">
        <w:t>total procedure delay and interruption time of 8ms</w:t>
      </w:r>
      <w:r>
        <w:t xml:space="preserve"> (rounding up 35/4).</w:t>
      </w:r>
    </w:p>
    <w:p w14:paraId="3C206639" w14:textId="77777777" w:rsidR="00DB5628" w:rsidRDefault="00DB5628" w:rsidP="00DB5628">
      <w:r w:rsidRPr="001E1DB9">
        <w:rPr>
          <w:u w:val="single"/>
        </w:rPr>
        <w:t>NR RACH procedure</w:t>
      </w:r>
    </w:p>
    <w:p w14:paraId="41FE6CED" w14:textId="77777777" w:rsidR="00DB5628" w:rsidRDefault="00DB5628" w:rsidP="00DB5628">
      <w:r>
        <w:t xml:space="preserve">TR38.804 section </w:t>
      </w:r>
      <w:r w:rsidRPr="001E1DB9">
        <w:t>E.2 gives</w:t>
      </w:r>
      <w:r>
        <w:t xml:space="preserve"> a</w:t>
      </w:r>
      <w:r w:rsidRPr="001E1DB9">
        <w:t xml:space="preserve"> RACH minimum latency of 4ms</w:t>
      </w:r>
      <w:r>
        <w:t>.</w:t>
      </w:r>
    </w:p>
    <w:p w14:paraId="58A5A03B" w14:textId="77777777" w:rsidR="00DB5628" w:rsidRDefault="00DB5628" w:rsidP="00DB5628">
      <w:r>
        <w:rPr>
          <w:u w:val="single"/>
        </w:rPr>
        <w:t>Handover preparation</w:t>
      </w:r>
    </w:p>
    <w:p w14:paraId="6500D2FE" w14:textId="6EFC8517" w:rsidR="00DB5628" w:rsidRDefault="00DB5628" w:rsidP="00DB5628">
      <w:r>
        <w:t>This is implementation-dependent and therefore cannot be estimated</w:t>
      </w:r>
      <w:r w:rsidR="00F44A23">
        <w:t xml:space="preserve"> fairly</w:t>
      </w:r>
      <w:r>
        <w:t xml:space="preserve">. However, this </w:t>
      </w:r>
      <w:r w:rsidR="00F44A23">
        <w:t xml:space="preserve">delay </w:t>
      </w:r>
      <w:r>
        <w:t>is the same for an intra-gNB handover using RRC containers via the MeNB and using direct RRC signalling, so it is only significant if we look at the relative gain compared to the total duration. One way to address this is too look at two metrics:</w:t>
      </w:r>
    </w:p>
    <w:p w14:paraId="4CA676B2" w14:textId="11D0E983" w:rsidR="00022A02" w:rsidRPr="004E20A3" w:rsidRDefault="00DB5628" w:rsidP="00DB5628">
      <w:pPr>
        <w:pStyle w:val="ListParagraph"/>
        <w:numPr>
          <w:ilvl w:val="0"/>
          <w:numId w:val="5"/>
        </w:numPr>
        <w:rPr>
          <w:rFonts w:ascii="Times New Roman" w:eastAsia="Times New Roman" w:hAnsi="Times New Roman"/>
          <w:sz w:val="20"/>
          <w:szCs w:val="20"/>
          <w:lang w:val="en-GB"/>
        </w:rPr>
      </w:pPr>
      <w:r w:rsidRPr="00022A02">
        <w:t>The relative gain compared to the total duration, in which the handover preparation is</w:t>
      </w:r>
      <w:r w:rsidR="00022A02">
        <w:rPr>
          <w:rFonts w:ascii="Times New Roman" w:eastAsia="Times New Roman" w:hAnsi="Times New Roman"/>
          <w:sz w:val="20"/>
          <w:szCs w:val="20"/>
          <w:lang w:val="en-GB"/>
        </w:rPr>
        <w:t xml:space="preserve"> included and</w:t>
      </w:r>
      <w:r w:rsidRPr="00022A02">
        <w:t xml:space="preserve"> set to an arbitrarily fixed number; we propose 25ms.</w:t>
      </w:r>
    </w:p>
    <w:p w14:paraId="53184F83" w14:textId="17A86E3A" w:rsidR="00DB5628" w:rsidRPr="00022A02" w:rsidRDefault="00E92E87" w:rsidP="004E20A3">
      <w:pPr>
        <w:pStyle w:val="ListParagraph"/>
        <w:numPr>
          <w:ilvl w:val="0"/>
          <w:numId w:val="5"/>
        </w:numPr>
      </w:pPr>
      <w:r w:rsidRPr="00022A02">
        <w:rPr>
          <w:rFonts w:ascii="Times New Roman" w:eastAsia="Times New Roman" w:hAnsi="Times New Roman"/>
          <w:sz w:val="20"/>
          <w:szCs w:val="20"/>
          <w:lang w:val="en-GB"/>
        </w:rPr>
        <w:t>Consider t</w:t>
      </w:r>
      <w:r w:rsidR="00DB5628" w:rsidRPr="00022A02">
        <w:rPr>
          <w:rFonts w:ascii="Times New Roman" w:eastAsia="Times New Roman" w:hAnsi="Times New Roman"/>
          <w:sz w:val="20"/>
          <w:szCs w:val="20"/>
          <w:lang w:val="en-GB"/>
        </w:rPr>
        <w:t>he relative gain</w:t>
      </w:r>
      <w:r w:rsidRPr="00022A02">
        <w:rPr>
          <w:rFonts w:ascii="Times New Roman" w:eastAsia="Times New Roman" w:hAnsi="Times New Roman"/>
          <w:sz w:val="20"/>
          <w:szCs w:val="20"/>
          <w:lang w:val="en-GB"/>
        </w:rPr>
        <w:t>s</w:t>
      </w:r>
      <w:r w:rsidR="00DB5628" w:rsidRPr="00022A02">
        <w:rPr>
          <w:rFonts w:ascii="Times New Roman" w:eastAsia="Times New Roman" w:hAnsi="Times New Roman"/>
          <w:sz w:val="20"/>
          <w:szCs w:val="20"/>
          <w:lang w:val="en-GB"/>
        </w:rPr>
        <w:t xml:space="preserve"> </w:t>
      </w:r>
      <w:r w:rsidRPr="00022A02">
        <w:rPr>
          <w:rFonts w:ascii="Times New Roman" w:eastAsia="Times New Roman" w:hAnsi="Times New Roman"/>
          <w:sz w:val="20"/>
          <w:szCs w:val="20"/>
          <w:lang w:val="en-GB"/>
        </w:rPr>
        <w:t xml:space="preserve">of handover preparation </w:t>
      </w:r>
      <w:r w:rsidR="00022A02">
        <w:rPr>
          <w:rFonts w:ascii="Times New Roman" w:eastAsia="Times New Roman" w:hAnsi="Times New Roman"/>
          <w:sz w:val="20"/>
          <w:szCs w:val="20"/>
          <w:lang w:val="en-GB"/>
        </w:rPr>
        <w:t>without including the handover preparation gain.</w:t>
      </w:r>
    </w:p>
    <w:p w14:paraId="5FF0E443" w14:textId="5D9BE676" w:rsidR="00CD4C7B" w:rsidRDefault="00CD4C7B" w:rsidP="00CD4C7B">
      <w:pPr>
        <w:pStyle w:val="Heading1"/>
      </w:pPr>
      <w:r w:rsidRPr="006E13D1">
        <w:t>3</w:t>
      </w:r>
      <w:r w:rsidRPr="006E13D1">
        <w:tab/>
        <w:t>Heading 1</w:t>
      </w:r>
    </w:p>
    <w:p w14:paraId="40E51608" w14:textId="0C3D7325" w:rsidR="00DB5628" w:rsidRDefault="00DB5628" w:rsidP="00DB5628">
      <w:r>
        <w:t xml:space="preserve">Based on the background </w:t>
      </w:r>
      <w:r w:rsidR="00E92E87">
        <w:t xml:space="preserve">and assumptions </w:t>
      </w:r>
      <w:r>
        <w:t>provided in the previous section, the tables provid</w:t>
      </w:r>
      <w:r w:rsidR="004E20A3">
        <w:t>e</w:t>
      </w:r>
      <w:r>
        <w:t xml:space="preserve"> the results of the </w:t>
      </w:r>
      <w:r w:rsidR="00E92E87">
        <w:t xml:space="preserve">simple </w:t>
      </w:r>
      <w:r>
        <w:t>calculation</w:t>
      </w:r>
      <w:r w:rsidR="00E92E87">
        <w:t>s</w:t>
      </w:r>
      <w:r>
        <w:t>:</w:t>
      </w:r>
    </w:p>
    <w:p w14:paraId="461C7B8D" w14:textId="77777777" w:rsidR="00F81A82" w:rsidRDefault="00F81A82" w:rsidP="00F81A82">
      <w:pPr>
        <w:jc w:val="center"/>
        <w:rPr>
          <w:b/>
        </w:rPr>
      </w:pPr>
      <w:r w:rsidRPr="00DB5628">
        <w:rPr>
          <w:b/>
        </w:rPr>
        <w:t xml:space="preserve">Table 1: Intra-SgNB mobility </w:t>
      </w:r>
      <w:r>
        <w:rPr>
          <w:b/>
        </w:rPr>
        <w:t xml:space="preserve">using the MCG SRB </w:t>
      </w:r>
      <w:r w:rsidRPr="00DB5628">
        <w:rPr>
          <w:b/>
        </w:rPr>
        <w:t>involving the MeNB</w:t>
      </w:r>
    </w:p>
    <w:bookmarkStart w:id="1" w:name="_MON_1553495717"/>
    <w:bookmarkEnd w:id="1"/>
    <w:p w14:paraId="3478BEC9" w14:textId="46A84E9F" w:rsidR="00DB5628" w:rsidRDefault="00DB5628" w:rsidP="00DB5628">
      <w:pPr>
        <w:jc w:val="center"/>
      </w:pPr>
      <w:r>
        <w:object w:dxaOrig="7406" w:dyaOrig="5203" w14:anchorId="0A85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pt;height:225.7pt" o:ole="">
            <v:imagedata r:id="rId12" o:title=""/>
          </v:shape>
          <o:OLEObject Type="Embed" ProgID="Excel.Sheet.12" ShapeID="_x0000_i1025" DrawAspect="Content" ObjectID="_1577185236" r:id="rId13"/>
        </w:object>
      </w:r>
    </w:p>
    <w:p w14:paraId="10F03806" w14:textId="77777777" w:rsidR="00F81A82" w:rsidRDefault="00F81A82" w:rsidP="00DB5628">
      <w:pPr>
        <w:jc w:val="center"/>
      </w:pPr>
    </w:p>
    <w:p w14:paraId="60731AB4" w14:textId="3EA75375" w:rsidR="00F81A82" w:rsidRDefault="00F81A82" w:rsidP="00DB5628">
      <w:pPr>
        <w:jc w:val="center"/>
      </w:pPr>
    </w:p>
    <w:p w14:paraId="3439788F" w14:textId="3F5B7CE6" w:rsidR="00A37A21" w:rsidRDefault="00A37A21" w:rsidP="00DB5628">
      <w:pPr>
        <w:jc w:val="center"/>
      </w:pPr>
    </w:p>
    <w:p w14:paraId="33D364E3" w14:textId="686B520D" w:rsidR="00A37A21" w:rsidRDefault="00A37A21" w:rsidP="00DB5628">
      <w:pPr>
        <w:jc w:val="center"/>
      </w:pPr>
    </w:p>
    <w:p w14:paraId="7837BA39" w14:textId="77777777" w:rsidR="00A37A21" w:rsidRDefault="00A37A21" w:rsidP="00DB5628">
      <w:pPr>
        <w:jc w:val="center"/>
      </w:pPr>
    </w:p>
    <w:p w14:paraId="7F05DC5B" w14:textId="77777777" w:rsidR="00F81A82" w:rsidRDefault="00F81A82" w:rsidP="00DB5628">
      <w:pPr>
        <w:jc w:val="center"/>
      </w:pPr>
    </w:p>
    <w:p w14:paraId="1C99BC77" w14:textId="77777777" w:rsidR="00F81A82" w:rsidRDefault="00F81A82" w:rsidP="00DB5628">
      <w:pPr>
        <w:jc w:val="center"/>
      </w:pPr>
    </w:p>
    <w:p w14:paraId="39F7E700" w14:textId="77777777" w:rsidR="00F81A82" w:rsidRDefault="00F81A82" w:rsidP="00DB5628">
      <w:pPr>
        <w:jc w:val="center"/>
      </w:pPr>
    </w:p>
    <w:p w14:paraId="35ED43EE" w14:textId="77777777" w:rsidR="00F81A82" w:rsidRDefault="00F81A82" w:rsidP="00DB5628">
      <w:pPr>
        <w:jc w:val="center"/>
      </w:pPr>
    </w:p>
    <w:p w14:paraId="2C397FDB" w14:textId="77777777" w:rsidR="00F81A82" w:rsidRDefault="00F81A82" w:rsidP="00DB5628">
      <w:pPr>
        <w:jc w:val="center"/>
      </w:pPr>
    </w:p>
    <w:p w14:paraId="41DD0EEA" w14:textId="6A53CF02" w:rsidR="00F81A82" w:rsidRDefault="00F81A82" w:rsidP="00DB5628">
      <w:pPr>
        <w:jc w:val="center"/>
      </w:pPr>
      <w:r w:rsidRPr="00DB5628">
        <w:rPr>
          <w:b/>
        </w:rPr>
        <w:lastRenderedPageBreak/>
        <w:t xml:space="preserve">Table </w:t>
      </w:r>
      <w:r>
        <w:rPr>
          <w:b/>
        </w:rPr>
        <w:t>2</w:t>
      </w:r>
      <w:r w:rsidRPr="00DB5628">
        <w:rPr>
          <w:b/>
        </w:rPr>
        <w:t xml:space="preserve">: Intra-SgNB mobility </w:t>
      </w:r>
      <w:r>
        <w:rPr>
          <w:b/>
        </w:rPr>
        <w:t>using the direct SCG SRB (not involving the MeNB)</w:t>
      </w:r>
    </w:p>
    <w:bookmarkStart w:id="2" w:name="_MON_1553498051"/>
    <w:bookmarkEnd w:id="2"/>
    <w:p w14:paraId="75E1C582" w14:textId="65D2DF93" w:rsidR="00DB5628" w:rsidRDefault="00DB5628" w:rsidP="00DB5628">
      <w:pPr>
        <w:jc w:val="center"/>
      </w:pPr>
      <w:r>
        <w:object w:dxaOrig="7406" w:dyaOrig="4344" w14:anchorId="486B94C3">
          <v:shape id="_x0000_i1026" type="#_x0000_t75" style="width:321.25pt;height:188.75pt" o:ole="">
            <v:imagedata r:id="rId14" o:title=""/>
          </v:shape>
          <o:OLEObject Type="Embed" ProgID="Excel.Sheet.12" ShapeID="_x0000_i1026" DrawAspect="Content" ObjectID="_1577185237" r:id="rId15"/>
        </w:object>
      </w:r>
    </w:p>
    <w:p w14:paraId="65D7E79C" w14:textId="309F4ABB" w:rsidR="00DB5628" w:rsidRDefault="00DB5628" w:rsidP="00DB5628">
      <w:pPr>
        <w:jc w:val="center"/>
        <w:rPr>
          <w:b/>
        </w:rPr>
      </w:pPr>
    </w:p>
    <w:bookmarkStart w:id="3" w:name="_MON_1553499297"/>
    <w:bookmarkEnd w:id="3"/>
    <w:p w14:paraId="2BE60125" w14:textId="0DC1CC94" w:rsidR="00DB5628" w:rsidRDefault="00DB5628" w:rsidP="00DB5628">
      <w:r>
        <w:object w:dxaOrig="9671" w:dyaOrig="1194" w14:anchorId="295660FB">
          <v:shape id="_x0000_i1027" type="#_x0000_t75" style="width:483.25pt;height:60pt" o:ole="">
            <v:imagedata r:id="rId16" o:title=""/>
          </v:shape>
          <o:OLEObject Type="Embed" ProgID="Excel.Sheet.12" ShapeID="_x0000_i1027" DrawAspect="Content" ObjectID="_1577185238" r:id="rId17"/>
        </w:object>
      </w:r>
    </w:p>
    <w:p w14:paraId="5ED1FF1D" w14:textId="1EA7303E" w:rsidR="00DB5628" w:rsidRDefault="00DB5628" w:rsidP="00DB5628">
      <w:pPr>
        <w:jc w:val="center"/>
        <w:rPr>
          <w:b/>
        </w:rPr>
      </w:pPr>
    </w:p>
    <w:p w14:paraId="62232F53" w14:textId="31A9615D" w:rsidR="00DB5628" w:rsidRDefault="00DB5628" w:rsidP="00DB5628">
      <w:pPr>
        <w:rPr>
          <w:b/>
        </w:rPr>
      </w:pPr>
      <w:r>
        <w:rPr>
          <w:b/>
        </w:rPr>
        <w:t>Observation 1: There is a clear 50% latency gain in RRC reconfiguration using the direct SCG SRB for intra-SgNB mobility.</w:t>
      </w:r>
    </w:p>
    <w:p w14:paraId="4A090281" w14:textId="6FEAD4BC" w:rsidR="00DB5628" w:rsidRPr="00DB5628" w:rsidRDefault="00DB5628" w:rsidP="00DB5628">
      <w:pPr>
        <w:rPr>
          <w:b/>
        </w:rPr>
      </w:pPr>
      <w:r>
        <w:rPr>
          <w:b/>
        </w:rPr>
        <w:t xml:space="preserve">Observation 2: </w:t>
      </w:r>
      <w:r w:rsidR="004B14F0">
        <w:rPr>
          <w:b/>
        </w:rPr>
        <w:t>W</w:t>
      </w:r>
      <w:r w:rsidR="00E92E87">
        <w:rPr>
          <w:b/>
        </w:rPr>
        <w:t>hen</w:t>
      </w:r>
      <w:r w:rsidR="004B14F0">
        <w:rPr>
          <w:b/>
        </w:rPr>
        <w:t xml:space="preserve"> the </w:t>
      </w:r>
      <w:r>
        <w:rPr>
          <w:b/>
        </w:rPr>
        <w:t xml:space="preserve">HO </w:t>
      </w:r>
      <w:r w:rsidR="004B14F0">
        <w:rPr>
          <w:b/>
        </w:rPr>
        <w:t xml:space="preserve">preparation time is </w:t>
      </w:r>
      <w:r w:rsidR="00E92E87">
        <w:rPr>
          <w:b/>
        </w:rPr>
        <w:t xml:space="preserve">additionally </w:t>
      </w:r>
      <w:r w:rsidR="004B14F0">
        <w:rPr>
          <w:b/>
        </w:rPr>
        <w:t>included</w:t>
      </w:r>
      <w:r>
        <w:rPr>
          <w:b/>
        </w:rPr>
        <w:t xml:space="preserve">, there </w:t>
      </w:r>
      <w:r w:rsidR="004B14F0">
        <w:rPr>
          <w:b/>
        </w:rPr>
        <w:t xml:space="preserve">still </w:t>
      </w:r>
      <w:r w:rsidR="00E92E87">
        <w:rPr>
          <w:b/>
        </w:rPr>
        <w:t xml:space="preserve">remains </w:t>
      </w:r>
      <w:r>
        <w:rPr>
          <w:b/>
        </w:rPr>
        <w:t xml:space="preserve">a </w:t>
      </w:r>
      <w:r w:rsidR="004B14F0">
        <w:rPr>
          <w:b/>
        </w:rPr>
        <w:t xml:space="preserve">large gain of close to </w:t>
      </w:r>
      <w:r>
        <w:rPr>
          <w:b/>
        </w:rPr>
        <w:t xml:space="preserve">30% </w:t>
      </w:r>
      <w:r w:rsidR="004B14F0">
        <w:rPr>
          <w:b/>
        </w:rPr>
        <w:t>in procedural execution time</w:t>
      </w:r>
      <w:r>
        <w:rPr>
          <w:b/>
        </w:rPr>
        <w:t xml:space="preserve"> </w:t>
      </w:r>
      <w:r w:rsidR="004B14F0">
        <w:rPr>
          <w:b/>
        </w:rPr>
        <w:t>for</w:t>
      </w:r>
      <w:r>
        <w:rPr>
          <w:b/>
        </w:rPr>
        <w:t xml:space="preserve"> RRC reconfiguration </w:t>
      </w:r>
      <w:r w:rsidR="00E92E87">
        <w:rPr>
          <w:b/>
        </w:rPr>
        <w:t xml:space="preserve">when </w:t>
      </w:r>
      <w:r>
        <w:rPr>
          <w:b/>
        </w:rPr>
        <w:t>using the direct SCG SRB for intra-SgNB mobility.</w:t>
      </w:r>
    </w:p>
    <w:p w14:paraId="43A12B72" w14:textId="73798A77" w:rsidR="00CD4C7B" w:rsidRPr="006E13D1" w:rsidRDefault="00CD4C7B" w:rsidP="00CD4C7B">
      <w:pPr>
        <w:pStyle w:val="Heading1"/>
      </w:pPr>
      <w:r w:rsidRPr="006E13D1">
        <w:t>4</w:t>
      </w:r>
      <w:r w:rsidRPr="006E13D1">
        <w:tab/>
      </w:r>
      <w:r w:rsidR="004B14F0">
        <w:t>Conclusion</w:t>
      </w:r>
    </w:p>
    <w:p w14:paraId="66B7FED1" w14:textId="1E4BD21D" w:rsidR="004B14F0" w:rsidRDefault="004B14F0" w:rsidP="004B14F0">
      <w:pPr>
        <w:rPr>
          <w:b/>
        </w:rPr>
      </w:pPr>
      <w:r>
        <w:t>In this contribution, we have provided the calculations to prove the gains coming from using the SgNB RRC. Given the clear gains that can be achieved with direct NR RRC signalling it is proposed to make it mandatory for the UE to support it.</w:t>
      </w:r>
    </w:p>
    <w:p w14:paraId="63133C85" w14:textId="342E13BD" w:rsidR="004B14F0" w:rsidRDefault="004B14F0" w:rsidP="004B14F0">
      <w:pPr>
        <w:rPr>
          <w:b/>
        </w:rPr>
      </w:pPr>
      <w:r>
        <w:rPr>
          <w:b/>
        </w:rPr>
        <w:t>Observation 1: There is a clear 50% latency gain in RRC reconfiguration using the direct SCG SRB for intra-SgNB mobility.</w:t>
      </w:r>
    </w:p>
    <w:p w14:paraId="190C81D1" w14:textId="5DC86EBC" w:rsidR="00CD4C7B" w:rsidRDefault="004B14F0" w:rsidP="004B14F0">
      <w:pPr>
        <w:rPr>
          <w:b/>
        </w:rPr>
      </w:pPr>
      <w:r>
        <w:rPr>
          <w:b/>
        </w:rPr>
        <w:t>Observation 2: With the HO preparation time is included, there is still a large gain of close to 30% gain in procedural execution time for RRC reconfiguration using the direct SCG SRB for intra-SgNB mobility.</w:t>
      </w:r>
    </w:p>
    <w:p w14:paraId="07FE0A1C" w14:textId="6F549D2B" w:rsidR="00F066AF" w:rsidRPr="00D869EB" w:rsidRDefault="00F066AF" w:rsidP="004B14F0">
      <w:pPr>
        <w:rPr>
          <w:b/>
        </w:rPr>
      </w:pPr>
      <w:r w:rsidRPr="00D869EB">
        <w:rPr>
          <w:b/>
        </w:rPr>
        <w:t xml:space="preserve">Observation 3: Not having SRB3 configured in a network will result in huge KPI issues with UE mobility in NR especially given the fact that the most of the PSCell mobility scenarios </w:t>
      </w:r>
      <w:r w:rsidR="006206C2" w:rsidRPr="00D869EB">
        <w:rPr>
          <w:b/>
        </w:rPr>
        <w:t>will</w:t>
      </w:r>
      <w:r w:rsidRPr="00D869EB">
        <w:rPr>
          <w:b/>
        </w:rPr>
        <w:t xml:space="preserve"> not need MN involvement.</w:t>
      </w:r>
    </w:p>
    <w:p w14:paraId="6D4D1815" w14:textId="287CD209" w:rsidR="004B14F0" w:rsidRPr="00D869EB" w:rsidRDefault="00F066AF" w:rsidP="004B14F0">
      <w:pPr>
        <w:rPr>
          <w:b/>
        </w:rPr>
      </w:pPr>
      <w:r w:rsidRPr="00D869EB">
        <w:rPr>
          <w:b/>
        </w:rPr>
        <w:t>Observation 3:</w:t>
      </w:r>
      <w:r w:rsidR="004B14F0" w:rsidRPr="00D869EB">
        <w:rPr>
          <w:b/>
        </w:rPr>
        <w:t xml:space="preserve"> </w:t>
      </w:r>
      <w:r w:rsidRPr="00D869EB">
        <w:rPr>
          <w:b/>
        </w:rPr>
        <w:t xml:space="preserve">A majority of companies have supported having SRB3 mandatory feature (or </w:t>
      </w:r>
      <w:r w:rsidR="007E79D5" w:rsidRPr="00D869EB">
        <w:rPr>
          <w:b/>
        </w:rPr>
        <w:t xml:space="preserve">at least </w:t>
      </w:r>
      <w:r w:rsidRPr="00D869EB">
        <w:rPr>
          <w:b/>
        </w:rPr>
        <w:t>with</w:t>
      </w:r>
      <w:r w:rsidR="00D869EB">
        <w:rPr>
          <w:b/>
        </w:rPr>
        <w:t xml:space="preserve"> the</w:t>
      </w:r>
      <w:r w:rsidRPr="00D869EB">
        <w:rPr>
          <w:b/>
        </w:rPr>
        <w:t xml:space="preserve"> IOT bit).</w:t>
      </w:r>
    </w:p>
    <w:p w14:paraId="1A33242B" w14:textId="10A600D5" w:rsidR="00F066AF" w:rsidRPr="006E13D1" w:rsidRDefault="00F066AF" w:rsidP="004B14F0">
      <w:r w:rsidRPr="00D869EB">
        <w:rPr>
          <w:b/>
        </w:rPr>
        <w:t xml:space="preserve">Proposal: SRB3 </w:t>
      </w:r>
      <w:r w:rsidR="00116D0A" w:rsidRPr="00D869EB">
        <w:rPr>
          <w:b/>
        </w:rPr>
        <w:t>is a mandatory feature in Rel-15.</w:t>
      </w:r>
    </w:p>
    <w:p w14:paraId="0FDCFAC2" w14:textId="77777777" w:rsidR="00CD4C7B" w:rsidRPr="006E13D1" w:rsidRDefault="00CD4C7B" w:rsidP="00CD4C7B">
      <w:pPr>
        <w:pStyle w:val="Heading1"/>
      </w:pPr>
      <w:r w:rsidRPr="006E13D1">
        <w:t>References</w:t>
      </w:r>
    </w:p>
    <w:p w14:paraId="52B5D582" w14:textId="3E888C54" w:rsidR="002E773E" w:rsidRDefault="002E773E" w:rsidP="004E20A3">
      <w:pPr>
        <w:numPr>
          <w:ilvl w:val="0"/>
          <w:numId w:val="4"/>
        </w:numPr>
        <w:overflowPunct w:val="0"/>
        <w:autoSpaceDE w:val="0"/>
        <w:autoSpaceDN w:val="0"/>
        <w:adjustRightInd w:val="0"/>
        <w:textAlignment w:val="baseline"/>
      </w:pPr>
      <w:r w:rsidRPr="002E773E">
        <w:t>R2-1709244</w:t>
      </w:r>
      <w:r>
        <w:t xml:space="preserve">: </w:t>
      </w:r>
      <w:r w:rsidRPr="002E773E">
        <w:rPr>
          <w:i/>
        </w:rPr>
        <w:t>Comparison of RRC reconfiguration latency for SCG SRB with MCG routed SRB</w:t>
      </w:r>
      <w:r>
        <w:t xml:space="preserve">, </w:t>
      </w:r>
      <w:r w:rsidRPr="00503D7F">
        <w:t>Nokia, Nokia Shanghai Bell</w:t>
      </w:r>
    </w:p>
    <w:p w14:paraId="055200B7" w14:textId="2237D367" w:rsidR="00CD4C7B" w:rsidRDefault="004B14F0" w:rsidP="004E20A3">
      <w:pPr>
        <w:numPr>
          <w:ilvl w:val="0"/>
          <w:numId w:val="4"/>
        </w:numPr>
        <w:overflowPunct w:val="0"/>
        <w:autoSpaceDE w:val="0"/>
        <w:autoSpaceDN w:val="0"/>
        <w:adjustRightInd w:val="0"/>
        <w:textAlignment w:val="baseline"/>
      </w:pPr>
      <w:r>
        <w:lastRenderedPageBreak/>
        <w:t xml:space="preserve">R2-1700055: </w:t>
      </w:r>
      <w:r w:rsidRPr="004B14F0">
        <w:rPr>
          <w:i/>
        </w:rPr>
        <w:t>RRC aspects for direct signalling path from secondary node to the UE</w:t>
      </w:r>
      <w:r>
        <w:t xml:space="preserve">, </w:t>
      </w:r>
      <w:r w:rsidRPr="004B14F0">
        <w:t>Nokia, Alcatel Lucent Shanghai Bell</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BE2D55" w14:textId="77777777" w:rsidR="00BE2137" w:rsidRDefault="00BE2137">
      <w:r>
        <w:separator/>
      </w:r>
    </w:p>
  </w:endnote>
  <w:endnote w:type="continuationSeparator" w:id="0">
    <w:p w14:paraId="4080F224" w14:textId="77777777" w:rsidR="00BE2137" w:rsidRDefault="00BE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70F4E" w14:textId="77777777" w:rsidR="00BE2137" w:rsidRDefault="00BE2137">
      <w:r>
        <w:separator/>
      </w:r>
    </w:p>
  </w:footnote>
  <w:footnote w:type="continuationSeparator" w:id="0">
    <w:p w14:paraId="41E40C5E" w14:textId="77777777" w:rsidR="00BE2137" w:rsidRDefault="00BE21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28FB"/>
    <w:multiLevelType w:val="hybridMultilevel"/>
    <w:tmpl w:val="4C1425CA"/>
    <w:lvl w:ilvl="0" w:tplc="B38C8EB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416"/>
    <w:rsid w:val="00022A02"/>
    <w:rsid w:val="00033397"/>
    <w:rsid w:val="00040095"/>
    <w:rsid w:val="00080512"/>
    <w:rsid w:val="00090468"/>
    <w:rsid w:val="000B7BCF"/>
    <w:rsid w:val="000C522B"/>
    <w:rsid w:val="000D58AB"/>
    <w:rsid w:val="00116D0A"/>
    <w:rsid w:val="00145075"/>
    <w:rsid w:val="001741A0"/>
    <w:rsid w:val="00194CD0"/>
    <w:rsid w:val="001B49C9"/>
    <w:rsid w:val="001D543A"/>
    <w:rsid w:val="001F168B"/>
    <w:rsid w:val="001F7831"/>
    <w:rsid w:val="00204045"/>
    <w:rsid w:val="0022606D"/>
    <w:rsid w:val="002747EC"/>
    <w:rsid w:val="002855BF"/>
    <w:rsid w:val="002E773E"/>
    <w:rsid w:val="002F0D22"/>
    <w:rsid w:val="003172DC"/>
    <w:rsid w:val="00326069"/>
    <w:rsid w:val="00341FCF"/>
    <w:rsid w:val="0035462D"/>
    <w:rsid w:val="003B40AD"/>
    <w:rsid w:val="003C16A5"/>
    <w:rsid w:val="003C4E37"/>
    <w:rsid w:val="003E16BE"/>
    <w:rsid w:val="00401855"/>
    <w:rsid w:val="00471F1D"/>
    <w:rsid w:val="00477455"/>
    <w:rsid w:val="004B14F0"/>
    <w:rsid w:val="004D3578"/>
    <w:rsid w:val="004D380D"/>
    <w:rsid w:val="004E20A3"/>
    <w:rsid w:val="004E213A"/>
    <w:rsid w:val="00503171"/>
    <w:rsid w:val="00506C28"/>
    <w:rsid w:val="005149BE"/>
    <w:rsid w:val="00521A86"/>
    <w:rsid w:val="00534DA0"/>
    <w:rsid w:val="00543E6C"/>
    <w:rsid w:val="00565087"/>
    <w:rsid w:val="0056573F"/>
    <w:rsid w:val="005E2505"/>
    <w:rsid w:val="00611566"/>
    <w:rsid w:val="006206C2"/>
    <w:rsid w:val="00646D99"/>
    <w:rsid w:val="00656910"/>
    <w:rsid w:val="006C66D8"/>
    <w:rsid w:val="006D1E24"/>
    <w:rsid w:val="006E0F98"/>
    <w:rsid w:val="006E1417"/>
    <w:rsid w:val="006F6A2C"/>
    <w:rsid w:val="00710201"/>
    <w:rsid w:val="007260A7"/>
    <w:rsid w:val="00734A5B"/>
    <w:rsid w:val="00744E76"/>
    <w:rsid w:val="00757D40"/>
    <w:rsid w:val="00781F0F"/>
    <w:rsid w:val="0078727C"/>
    <w:rsid w:val="0079049D"/>
    <w:rsid w:val="007A12EC"/>
    <w:rsid w:val="007B18D8"/>
    <w:rsid w:val="007C095F"/>
    <w:rsid w:val="007E79D5"/>
    <w:rsid w:val="008028A4"/>
    <w:rsid w:val="00813245"/>
    <w:rsid w:val="008204D3"/>
    <w:rsid w:val="008768CA"/>
    <w:rsid w:val="00877EF9"/>
    <w:rsid w:val="00880559"/>
    <w:rsid w:val="008B5306"/>
    <w:rsid w:val="0090271F"/>
    <w:rsid w:val="00902DB9"/>
    <w:rsid w:val="0090466A"/>
    <w:rsid w:val="00936071"/>
    <w:rsid w:val="00940212"/>
    <w:rsid w:val="00942EC2"/>
    <w:rsid w:val="00961B32"/>
    <w:rsid w:val="00970DB3"/>
    <w:rsid w:val="00974BB0"/>
    <w:rsid w:val="00992854"/>
    <w:rsid w:val="009A0AF3"/>
    <w:rsid w:val="009B07CD"/>
    <w:rsid w:val="009C19E9"/>
    <w:rsid w:val="009C4D4F"/>
    <w:rsid w:val="00A10F02"/>
    <w:rsid w:val="00A204CA"/>
    <w:rsid w:val="00A37A21"/>
    <w:rsid w:val="00A53724"/>
    <w:rsid w:val="00A82346"/>
    <w:rsid w:val="00A9671C"/>
    <w:rsid w:val="00AA1553"/>
    <w:rsid w:val="00B15449"/>
    <w:rsid w:val="00B20D0C"/>
    <w:rsid w:val="00B32D68"/>
    <w:rsid w:val="00B47FD1"/>
    <w:rsid w:val="00B516BB"/>
    <w:rsid w:val="00B847E2"/>
    <w:rsid w:val="00B9538D"/>
    <w:rsid w:val="00BE2137"/>
    <w:rsid w:val="00BF1E25"/>
    <w:rsid w:val="00C12B51"/>
    <w:rsid w:val="00C24650"/>
    <w:rsid w:val="00C33079"/>
    <w:rsid w:val="00C54748"/>
    <w:rsid w:val="00C83A13"/>
    <w:rsid w:val="00C9068C"/>
    <w:rsid w:val="00C92967"/>
    <w:rsid w:val="00CA3D0C"/>
    <w:rsid w:val="00CA654B"/>
    <w:rsid w:val="00CC1374"/>
    <w:rsid w:val="00CD0880"/>
    <w:rsid w:val="00CD4C7B"/>
    <w:rsid w:val="00D67461"/>
    <w:rsid w:val="00D738D6"/>
    <w:rsid w:val="00D80795"/>
    <w:rsid w:val="00D869EB"/>
    <w:rsid w:val="00D87E00"/>
    <w:rsid w:val="00D9134D"/>
    <w:rsid w:val="00D96D11"/>
    <w:rsid w:val="00DA7A03"/>
    <w:rsid w:val="00DB1818"/>
    <w:rsid w:val="00DB5628"/>
    <w:rsid w:val="00DC309B"/>
    <w:rsid w:val="00DC4DA2"/>
    <w:rsid w:val="00DE555F"/>
    <w:rsid w:val="00E1441E"/>
    <w:rsid w:val="00E62835"/>
    <w:rsid w:val="00E77645"/>
    <w:rsid w:val="00E83697"/>
    <w:rsid w:val="00E92E87"/>
    <w:rsid w:val="00EA1FAD"/>
    <w:rsid w:val="00EC4A25"/>
    <w:rsid w:val="00F025A2"/>
    <w:rsid w:val="00F066AF"/>
    <w:rsid w:val="00F07388"/>
    <w:rsid w:val="00F2026E"/>
    <w:rsid w:val="00F2210A"/>
    <w:rsid w:val="00F37743"/>
    <w:rsid w:val="00F44A23"/>
    <w:rsid w:val="00F54A3D"/>
    <w:rsid w:val="00F653B8"/>
    <w:rsid w:val="00F71B89"/>
    <w:rsid w:val="00F7353C"/>
    <w:rsid w:val="00F76F8F"/>
    <w:rsid w:val="00F81A8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DB5628"/>
    <w:pPr>
      <w:spacing w:after="160" w:line="259" w:lineRule="auto"/>
      <w:ind w:left="720"/>
      <w:contextualSpacing/>
    </w:pPr>
    <w:rPr>
      <w:rFonts w:ascii="Calibri" w:eastAsia="Calibri" w:hAnsi="Calibri"/>
      <w:sz w:val="22"/>
      <w:szCs w:val="22"/>
      <w:lang w:val="en-US"/>
    </w:rPr>
  </w:style>
  <w:style w:type="character" w:styleId="CommentReference">
    <w:name w:val="annotation reference"/>
    <w:basedOn w:val="DefaultParagraphFont"/>
    <w:rsid w:val="00F44A23"/>
    <w:rPr>
      <w:sz w:val="16"/>
      <w:szCs w:val="16"/>
    </w:rPr>
  </w:style>
  <w:style w:type="paragraph" w:styleId="CommentText">
    <w:name w:val="annotation text"/>
    <w:basedOn w:val="Normal"/>
    <w:link w:val="CommentTextChar"/>
    <w:rsid w:val="00F44A23"/>
  </w:style>
  <w:style w:type="character" w:customStyle="1" w:styleId="CommentTextChar">
    <w:name w:val="Comment Text Char"/>
    <w:basedOn w:val="DefaultParagraphFont"/>
    <w:link w:val="CommentText"/>
    <w:rsid w:val="00F44A23"/>
    <w:rPr>
      <w:lang w:eastAsia="en-US"/>
    </w:rPr>
  </w:style>
  <w:style w:type="paragraph" w:styleId="CommentSubject">
    <w:name w:val="annotation subject"/>
    <w:basedOn w:val="CommentText"/>
    <w:next w:val="CommentText"/>
    <w:link w:val="CommentSubjectChar"/>
    <w:rsid w:val="00F44A23"/>
    <w:rPr>
      <w:b/>
      <w:bCs/>
    </w:rPr>
  </w:style>
  <w:style w:type="character" w:customStyle="1" w:styleId="CommentSubjectChar">
    <w:name w:val="Comment Subject Char"/>
    <w:basedOn w:val="CommentTextChar"/>
    <w:link w:val="CommentSubject"/>
    <w:rsid w:val="00F44A23"/>
    <w:rPr>
      <w:b/>
      <w:bCs/>
      <w:lang w:eastAsia="en-US"/>
    </w:rPr>
  </w:style>
  <w:style w:type="paragraph" w:styleId="BalloonText">
    <w:name w:val="Balloon Text"/>
    <w:basedOn w:val="Normal"/>
    <w:link w:val="BalloonTextChar"/>
    <w:rsid w:val="00F44A23"/>
    <w:pPr>
      <w:spacing w:after="0"/>
    </w:pPr>
    <w:rPr>
      <w:rFonts w:ascii="Segoe UI" w:hAnsi="Segoe UI" w:cs="Segoe UI"/>
      <w:sz w:val="18"/>
      <w:szCs w:val="18"/>
    </w:rPr>
  </w:style>
  <w:style w:type="character" w:customStyle="1" w:styleId="BalloonTextChar">
    <w:name w:val="Balloon Text Char"/>
    <w:basedOn w:val="DefaultParagraphFont"/>
    <w:link w:val="BalloonText"/>
    <w:rsid w:val="00F44A2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Excel_Worksheet2.xls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1709244%20Comparision%20of%20RRC%20reconfiguration%20latency%20for%20SCG%20SRB%20with%20MCG%20routed%20SRB.docx" TargetMode="External"/><Relationship Id="rId5" Type="http://schemas.openxmlformats.org/officeDocument/2006/relationships/numbering" Target="numbering.xml"/><Relationship Id="rId15" Type="http://schemas.openxmlformats.org/officeDocument/2006/relationships/package" Target="embeddings/Microsoft_Excel_Worksheet1.xls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5AIRPNAIUNRU-859666464-1156</_dlc_DocId>
    <Information xmlns="3b34c8f0-1ef5-4d1e-bb66-517ce7fe7356" xsi:nil="true"/>
    <_dlc_DocIdUrl xmlns="71c5aaf6-e6ce-465b-b873-5148d2a4c105">
      <Url>https://nokia.sharepoint.com/sites/c5g/e2earch/_layouts/15/DocIdRedir.aspx?ID=5AIRPNAIUNRU-859666464-1156</Url>
      <Description>5AIRPNAIUNRU-859666464-1156</Description>
    </_dlc_DocIdUrl>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986F0D-05DC-4E80-AAF2-98DED4BD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58531-C490-4855-AC00-828A33FD48E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AF22730-12A5-4C0B-A116-97F4BAE753D7}">
  <ds:schemaRefs>
    <ds:schemaRef ds:uri="http://schemas.microsoft.com/sharepoint/v3/contenttype/forms"/>
  </ds:schemaRefs>
</ds:datastoreItem>
</file>

<file path=customXml/itemProps4.xml><?xml version="1.0" encoding="utf-8"?>
<ds:datastoreItem xmlns:ds="http://schemas.openxmlformats.org/officeDocument/2006/customXml" ds:itemID="{E5EEAE74-6D54-4058-B64C-1196687F18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103</TotalTime>
  <Pages>4</Pages>
  <Words>838</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5608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43</cp:revision>
  <dcterms:created xsi:type="dcterms:W3CDTF">2016-08-12T03:53:00Z</dcterms:created>
  <dcterms:modified xsi:type="dcterms:W3CDTF">2018-01-11T12:14:00Z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0dfe3825-5b6d-4832-9b31-acf84a1ff84a</vt:lpwstr>
  </property>
</Properties>
</file>